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99" w:rsidRPr="00300C58" w:rsidRDefault="00300C58">
      <w:pPr>
        <w:rPr>
          <w:rFonts w:ascii="Times New Roman" w:hAnsi="Times New Roman" w:cs="Times New Roman"/>
          <w:b/>
          <w:sz w:val="24"/>
          <w:szCs w:val="24"/>
        </w:rPr>
      </w:pPr>
      <w:r w:rsidRPr="00300C58">
        <w:rPr>
          <w:rFonts w:ascii="Times New Roman" w:hAnsi="Times New Roman" w:cs="Times New Roman"/>
          <w:b/>
          <w:sz w:val="24"/>
          <w:szCs w:val="24"/>
        </w:rPr>
        <w:t>Figure 1</w:t>
      </w:r>
    </w:p>
    <w:p w:rsidR="00300C58" w:rsidRDefault="00300C58" w:rsidP="00300C5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E1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54B2A7" wp14:editId="0956A5EF">
            <wp:extent cx="44958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490B56" w:rsidRPr="005A7E15" w:rsidRDefault="00300C58" w:rsidP="00490B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665">
        <w:rPr>
          <w:rFonts w:ascii="Times New Roman" w:hAnsi="Times New Roman" w:cs="Times New Roman"/>
          <w:b/>
          <w:color w:val="0070C0"/>
          <w:sz w:val="24"/>
          <w:szCs w:val="24"/>
        </w:rPr>
        <w:t>Figure 1.</w:t>
      </w:r>
      <w:r w:rsidR="00490B56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="00490B56">
        <w:rPr>
          <w:rFonts w:ascii="Times New Roman" w:hAnsi="Times New Roman" w:cs="Times New Roman"/>
          <w:sz w:val="24"/>
          <w:szCs w:val="24"/>
        </w:rPr>
        <w:t xml:space="preserve">Total volume of eluent (line bar) and volume of eluent containing </w:t>
      </w:r>
      <w:proofErr w:type="spellStart"/>
      <w:r w:rsidR="00490B56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="00490B56">
        <w:rPr>
          <w:rFonts w:ascii="Times New Roman" w:hAnsi="Times New Roman" w:cs="Times New Roman"/>
          <w:sz w:val="24"/>
          <w:szCs w:val="24"/>
        </w:rPr>
        <w:t xml:space="preserve"> (dot bar) at the primary axis, and </w:t>
      </w:r>
      <w:proofErr w:type="spellStart"/>
      <w:r w:rsidR="00490B56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="00490B56">
        <w:rPr>
          <w:rFonts w:ascii="Times New Roman" w:hAnsi="Times New Roman" w:cs="Times New Roman"/>
          <w:sz w:val="24"/>
          <w:szCs w:val="24"/>
        </w:rPr>
        <w:t xml:space="preserve"> fractionated (line graph) from the </w:t>
      </w:r>
      <w:proofErr w:type="spellStart"/>
      <w:r w:rsidR="00490B56">
        <w:rPr>
          <w:rFonts w:ascii="Times New Roman" w:hAnsi="Times New Roman" w:cs="Times New Roman"/>
          <w:sz w:val="24"/>
          <w:szCs w:val="24"/>
        </w:rPr>
        <w:t>methanolic</w:t>
      </w:r>
      <w:proofErr w:type="spellEnd"/>
      <w:r w:rsidR="00490B56">
        <w:rPr>
          <w:rFonts w:ascii="Times New Roman" w:hAnsi="Times New Roman" w:cs="Times New Roman"/>
          <w:sz w:val="24"/>
          <w:szCs w:val="24"/>
        </w:rPr>
        <w:t xml:space="preserve"> system of solid phase extraction at the secondary axis</w:t>
      </w:r>
    </w:p>
    <w:p w:rsidR="00300C58" w:rsidRPr="005A7E15" w:rsidRDefault="00300C58" w:rsidP="00300C5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00C58" w:rsidRDefault="00300C58"/>
    <w:sectPr w:rsidR="00300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58"/>
    <w:rsid w:val="000B444F"/>
    <w:rsid w:val="00152324"/>
    <w:rsid w:val="00300C58"/>
    <w:rsid w:val="0040714B"/>
    <w:rsid w:val="00490B56"/>
    <w:rsid w:val="00523E34"/>
    <w:rsid w:val="006D2FB4"/>
    <w:rsid w:val="009304E5"/>
    <w:rsid w:val="00B75BD1"/>
    <w:rsid w:val="00BD0954"/>
    <w:rsid w:val="00CF6BAE"/>
    <w:rsid w:val="00DF18E0"/>
    <w:rsid w:val="00E17696"/>
    <w:rsid w:val="00E50503"/>
    <w:rsid w:val="00EF3FE4"/>
    <w:rsid w:val="00F94AF6"/>
    <w:rsid w:val="00FA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7CC76C-E1DD-4A8F-8F2C-FB0D0E573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hua%20Lee%20Suan\GUP%20KF%20(5J84)\Nabihah\Nabihah\journal%20publication\TRAINING-OPTIMIZATION%20OF%20FRACTIONATION%20RUTIN%20(NEW)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9591426071741033"/>
          <c:y val="0.12078703703703704"/>
          <c:w val="0.61519685039370087"/>
          <c:h val="0.64681357538641004"/>
        </c:manualLayout>
      </c:layout>
      <c:barChart>
        <c:barDir val="col"/>
        <c:grouping val="stacked"/>
        <c:varyColors val="0"/>
        <c:ser>
          <c:idx val="1"/>
          <c:order val="0"/>
          <c:spPr>
            <a:pattFill prst="ltHorz">
              <a:fgClr>
                <a:srgbClr val="FF0000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sining!$T$15:$T$19</c:f>
                <c:numCache>
                  <c:formatCode>General</c:formatCode>
                  <c:ptCount val="5"/>
                  <c:pt idx="0">
                    <c:v>14</c:v>
                  </c:pt>
                  <c:pt idx="1">
                    <c:v>2</c:v>
                  </c:pt>
                  <c:pt idx="2">
                    <c:v>2</c:v>
                  </c:pt>
                  <c:pt idx="3">
                    <c:v>0</c:v>
                  </c:pt>
                  <c:pt idx="4">
                    <c:v>0</c:v>
                  </c:pt>
                </c:numCache>
              </c:numRef>
            </c:plus>
            <c:minus>
              <c:numRef>
                <c:f>sining!$T$15:$T$19</c:f>
                <c:numCache>
                  <c:formatCode>General</c:formatCode>
                  <c:ptCount val="5"/>
                  <c:pt idx="0">
                    <c:v>14</c:v>
                  </c:pt>
                  <c:pt idx="1">
                    <c:v>2</c:v>
                  </c:pt>
                  <c:pt idx="2">
                    <c:v>2</c:v>
                  </c:pt>
                  <c:pt idx="3">
                    <c:v>0</c:v>
                  </c:pt>
                  <c:pt idx="4">
                    <c:v>0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sining!$S$10:$S$14</c:f>
              <c:numCache>
                <c:formatCode>General</c:formatCode>
                <c:ptCount val="5"/>
                <c:pt idx="0">
                  <c:v>20</c:v>
                </c:pt>
                <c:pt idx="1">
                  <c:v>40</c:v>
                </c:pt>
                <c:pt idx="2">
                  <c:v>60</c:v>
                </c:pt>
                <c:pt idx="3">
                  <c:v>80</c:v>
                </c:pt>
                <c:pt idx="4">
                  <c:v>100</c:v>
                </c:pt>
              </c:numCache>
            </c:numRef>
          </c:cat>
          <c:val>
            <c:numRef>
              <c:f>'sining (modified)'!$T$10:$T$14</c:f>
              <c:numCache>
                <c:formatCode>General</c:formatCode>
                <c:ptCount val="5"/>
                <c:pt idx="0">
                  <c:v>100</c:v>
                </c:pt>
                <c:pt idx="1">
                  <c:v>15</c:v>
                </c:pt>
                <c:pt idx="2">
                  <c:v>9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</c:ser>
        <c:ser>
          <c:idx val="2"/>
          <c:order val="1"/>
          <c:spPr>
            <a:pattFill prst="pct70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sining!$U$15:$U$19</c:f>
                <c:numCache>
                  <c:formatCode>General</c:formatCode>
                  <c:ptCount val="5"/>
                  <c:pt idx="0">
                    <c:v>10</c:v>
                  </c:pt>
                  <c:pt idx="1">
                    <c:v>1</c:v>
                  </c:pt>
                  <c:pt idx="2">
                    <c:v>2</c:v>
                  </c:pt>
                  <c:pt idx="3">
                    <c:v>0</c:v>
                  </c:pt>
                  <c:pt idx="4">
                    <c:v>0</c:v>
                  </c:pt>
                </c:numCache>
              </c:numRef>
            </c:plus>
            <c:minus>
              <c:numRef>
                <c:f>sining!$U$15:$U$19</c:f>
                <c:numCache>
                  <c:formatCode>General</c:formatCode>
                  <c:ptCount val="5"/>
                  <c:pt idx="0">
                    <c:v>10</c:v>
                  </c:pt>
                  <c:pt idx="1">
                    <c:v>1</c:v>
                  </c:pt>
                  <c:pt idx="2">
                    <c:v>2</c:v>
                  </c:pt>
                  <c:pt idx="3">
                    <c:v>0</c:v>
                  </c:pt>
                  <c:pt idx="4">
                    <c:v>0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sining!$S$10:$S$14</c:f>
              <c:numCache>
                <c:formatCode>General</c:formatCode>
                <c:ptCount val="5"/>
                <c:pt idx="0">
                  <c:v>20</c:v>
                </c:pt>
                <c:pt idx="1">
                  <c:v>40</c:v>
                </c:pt>
                <c:pt idx="2">
                  <c:v>60</c:v>
                </c:pt>
                <c:pt idx="3">
                  <c:v>80</c:v>
                </c:pt>
                <c:pt idx="4">
                  <c:v>100</c:v>
                </c:pt>
              </c:numCache>
            </c:numRef>
          </c:cat>
          <c:val>
            <c:numRef>
              <c:f>'sining (modified)'!$U$10:$U$14</c:f>
              <c:numCache>
                <c:formatCode>General</c:formatCode>
                <c:ptCount val="5"/>
                <c:pt idx="0">
                  <c:v>80</c:v>
                </c:pt>
                <c:pt idx="1">
                  <c:v>15</c:v>
                </c:pt>
                <c:pt idx="2">
                  <c:v>6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08389768"/>
        <c:axId val="508388592"/>
      </c:barChart>
      <c:lineChart>
        <c:grouping val="standard"/>
        <c:varyColors val="0"/>
        <c:ser>
          <c:idx val="0"/>
          <c:order val="2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'sining (modified)'!$V$15:$V$19</c:f>
                <c:numCache>
                  <c:formatCode>General</c:formatCode>
                  <c:ptCount val="5"/>
                  <c:pt idx="0">
                    <c:v>0.11</c:v>
                  </c:pt>
                  <c:pt idx="1">
                    <c:v>0.33</c:v>
                  </c:pt>
                  <c:pt idx="2">
                    <c:v>0.21</c:v>
                  </c:pt>
                  <c:pt idx="3">
                    <c:v>0.39</c:v>
                  </c:pt>
                  <c:pt idx="4">
                    <c:v>0.24</c:v>
                  </c:pt>
                </c:numCache>
              </c:numRef>
            </c:plus>
            <c:minus>
              <c:numRef>
                <c:f>'sining (modified)'!$V$15:$V$19</c:f>
                <c:numCache>
                  <c:formatCode>General</c:formatCode>
                  <c:ptCount val="5"/>
                  <c:pt idx="0">
                    <c:v>0.11</c:v>
                  </c:pt>
                  <c:pt idx="1">
                    <c:v>0.33</c:v>
                  </c:pt>
                  <c:pt idx="2">
                    <c:v>0.21</c:v>
                  </c:pt>
                  <c:pt idx="3">
                    <c:v>0.39</c:v>
                  </c:pt>
                  <c:pt idx="4">
                    <c:v>0.24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'sining (modified)'!$AF$3:$AF$7</c:f>
              <c:numCache>
                <c:formatCode>General</c:formatCode>
                <c:ptCount val="5"/>
                <c:pt idx="0">
                  <c:v>0.38070468742611241</c:v>
                </c:pt>
                <c:pt idx="1">
                  <c:v>1.4464762134496996</c:v>
                </c:pt>
                <c:pt idx="2">
                  <c:v>1.0573017553920854</c:v>
                </c:pt>
                <c:pt idx="3">
                  <c:v>3.9642814735654701</c:v>
                </c:pt>
                <c:pt idx="4">
                  <c:v>2.9459291928937605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8390944"/>
        <c:axId val="508388984"/>
      </c:lineChart>
      <c:catAx>
        <c:axId val="5083897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Methanol (%)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08388592"/>
        <c:crosses val="autoZero"/>
        <c:auto val="0"/>
        <c:lblAlgn val="ctr"/>
        <c:lblOffset val="100"/>
        <c:noMultiLvlLbl val="0"/>
      </c:catAx>
      <c:valAx>
        <c:axId val="50838859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Eluent volume (mL)</a:t>
                </a:r>
              </a:p>
            </c:rich>
          </c:tx>
          <c:layout>
            <c:manualLayout>
              <c:xMode val="edge"/>
              <c:yMode val="edge"/>
              <c:x val="5.6055429511988969E-2"/>
              <c:y val="0.2035108632254301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08389768"/>
        <c:crosses val="autoZero"/>
        <c:crossBetween val="between"/>
      </c:valAx>
      <c:valAx>
        <c:axId val="508388984"/>
        <c:scaling>
          <c:orientation val="minMax"/>
          <c:max val="5"/>
          <c:min val="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Rutin</a:t>
                </a:r>
                <a:r>
                  <a:rPr lang="en-US" sz="12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(mg/g fraction)</a:t>
                </a:r>
              </a:p>
            </c:rich>
          </c:tx>
          <c:layout>
            <c:manualLayout>
              <c:xMode val="edge"/>
              <c:yMode val="edge"/>
              <c:x val="0.87526357934071797"/>
              <c:y val="0.1880712306794983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08390944"/>
        <c:crosses val="max"/>
        <c:crossBetween val="between"/>
        <c:majorUnit val="1"/>
      </c:valAx>
      <c:catAx>
        <c:axId val="508390944"/>
        <c:scaling>
          <c:orientation val="minMax"/>
        </c:scaling>
        <c:delete val="1"/>
        <c:axPos val="b"/>
        <c:majorTickMark val="out"/>
        <c:minorTickMark val="none"/>
        <c:tickLblPos val="nextTo"/>
        <c:crossAx val="508388984"/>
        <c:crosses val="autoZero"/>
        <c:auto val="0"/>
        <c:lblAlgn val="ctr"/>
        <c:lblOffset val="100"/>
        <c:noMultiLvlLbl val="0"/>
      </c:catAx>
      <c:spPr>
        <a:noFill/>
        <a:ln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chualeesuan</dc:creator>
  <cp:keywords/>
  <dc:description/>
  <cp:lastModifiedBy>chualeesuan</cp:lastModifiedBy>
  <cp:revision>2</cp:revision>
  <dcterms:created xsi:type="dcterms:W3CDTF">2017-05-05T08:20:00Z</dcterms:created>
  <dcterms:modified xsi:type="dcterms:W3CDTF">2017-05-05T08:20:00Z</dcterms:modified>
</cp:coreProperties>
</file>